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0000" w:sz="2"/>
              <w:left w:val="single" w:color="8B0000" w:sz="2"/>
              <w:bottom w:val="single" w:color="8B0000" w:sz="2"/>
              <w:right w:val="single" w:color="8B0000" w:sz="2"/>
            </w:tcBorders>
            <w:shd w:fill="8B0000" w:val="clear"/>
            <w:tcMar>
              <w:top w:type="dxa" w:w="180"/>
              <w:left w:type="dxa" w:w="300"/>
              <w:bottom w:type="dxa" w:w="180"/>
              <w:right w:type="dxa" w:w="300"/>
            </w:tcMar>
          </w:tcPr>
          <w:p>
            <w:pPr>
              <w:spacing w:after="40" w:before="40"/>
              <w:jc w:val="center"/>
            </w:pPr>
            <w:r>
              <w:rPr>
                <w:rFonts w:ascii="Arial" w:cs="Arial" w:eastAsia="Arial" w:hAnsi="Arial"/>
                <w:b/>
                <w:bCs/>
                <w:color w:val="FFFFFF"/>
                <w:sz w:val="34"/>
                <w:szCs w:val="34"/>
              </w:rPr>
              <w:t xml:space="preserve">OFFICIAL NOTICE</w:t>
            </w:r>
          </w:p>
          <w:p>
            <w:pPr>
              <w:spacing w:after="20" w:before="20"/>
              <w:jc w:val="center"/>
            </w:pPr>
            <w:r>
              <w:rPr>
                <w:rFonts w:ascii="Arial" w:cs="Arial" w:eastAsia="Arial" w:hAnsi="Arial"/>
                <w:color w:val="FFCCCC"/>
                <w:sz w:val="20"/>
                <w:szCs w:val="20"/>
              </w:rPr>
              <w:t xml:space="preserve">Statutory Waiting Time Compensation – Notice to Loading and Unloading Facilities in Italy</w:t>
            </w:r>
          </w:p>
        </w:tc>
      </w:tr>
    </w:tbl>
    <w:p>
      <w:pPr>
        <w:spacing w:after="120" w:before="120"/>
      </w:pPr>
      <w:r>
        <w:rPr>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AAAAAA" w:sz="1"/>
              <w:left w:val="single" w:color="AAAAAA" w:sz="1"/>
              <w:bottom w:val="single" w:color="AAAAAA" w:sz="1"/>
              <w:right w:val="single" w:color="AAAAAA" w:sz="1"/>
            </w:tcBorders>
            <w:shd w:fill="F5F5F5" w:val="clear"/>
            <w:tcMar>
              <w:top w:type="dxa" w:w="70"/>
              <w:left w:type="dxa" w:w="120"/>
              <w:bottom w:type="dxa" w:w="70"/>
              <w:right w:type="dxa" w:w="120"/>
            </w:tcMar>
          </w:tcPr>
          <w:p>
            <w:r>
              <w:rPr>
                <w:rFonts w:ascii="Arial" w:cs="Arial" w:eastAsia="Arial" w:hAnsi="Arial"/>
                <w:b/>
                <w:bCs/>
                <w:sz w:val="20"/>
                <w:szCs w:val="20"/>
              </w:rPr>
              <w:t xml:space="preserve">From:</w:t>
            </w:r>
          </w:p>
        </w:tc>
        <w:tc>
          <w:tcPr>
            <w:tcW w:type="dxa" w:w="7026"/>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color w:val="888888"/>
                <w:sz w:val="20"/>
                <w:szCs w:val="20"/>
              </w:rPr>
              <w:t xml:space="preserve">____________________  |  ____________________  |  ____________________</w:t>
            </w:r>
          </w:p>
        </w:tc>
      </w:tr>
      <w:tr>
        <w:tc>
          <w:tcPr>
            <w:tcW w:type="dxa" w:w="2000"/>
            <w:tcBorders>
              <w:top w:val="single" w:color="AAAAAA" w:sz="1"/>
              <w:left w:val="single" w:color="AAAAAA" w:sz="1"/>
              <w:bottom w:val="single" w:color="AAAAAA" w:sz="1"/>
              <w:right w:val="single" w:color="AAAAAA" w:sz="1"/>
            </w:tcBorders>
            <w:shd w:fill="F5F5F5" w:val="clear"/>
            <w:tcMar>
              <w:top w:type="dxa" w:w="70"/>
              <w:left w:type="dxa" w:w="120"/>
              <w:bottom w:type="dxa" w:w="70"/>
              <w:right w:type="dxa" w:w="120"/>
            </w:tcMar>
          </w:tcPr>
          <w:p>
            <w:r>
              <w:rPr>
                <w:rFonts w:ascii="Arial" w:cs="Arial" w:eastAsia="Arial" w:hAnsi="Arial"/>
                <w:b/>
                <w:bCs/>
                <w:sz w:val="20"/>
                <w:szCs w:val="20"/>
              </w:rPr>
              <w:t xml:space="preserve">To:</w:t>
            </w:r>
          </w:p>
        </w:tc>
        <w:tc>
          <w:tcPr>
            <w:tcW w:type="dxa" w:w="7026"/>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color w:val="888888"/>
                <w:sz w:val="20"/>
                <w:szCs w:val="20"/>
              </w:rPr>
              <w:t xml:space="preserve">____________________  |  ____________________  |  ____________________</w:t>
            </w:r>
          </w:p>
        </w:tc>
      </w:tr>
      <w:tr>
        <w:tc>
          <w:tcPr>
            <w:tcW w:type="dxa" w:w="2000"/>
            <w:tcBorders>
              <w:top w:val="single" w:color="AAAAAA" w:sz="1"/>
              <w:left w:val="single" w:color="AAAAAA" w:sz="1"/>
              <w:bottom w:val="single" w:color="AAAAAA" w:sz="1"/>
              <w:right w:val="single" w:color="AAAAAA" w:sz="1"/>
            </w:tcBorders>
            <w:shd w:fill="F5F5F5" w:val="clear"/>
            <w:tcMar>
              <w:top w:type="dxa" w:w="70"/>
              <w:left w:type="dxa" w:w="120"/>
              <w:bottom w:type="dxa" w:w="70"/>
              <w:right w:type="dxa" w:w="120"/>
            </w:tcMar>
          </w:tcPr>
          <w:p>
            <w:r>
              <w:rPr>
                <w:rFonts w:ascii="Arial" w:cs="Arial" w:eastAsia="Arial" w:hAnsi="Arial"/>
                <w:b/>
                <w:bCs/>
                <w:sz w:val="20"/>
                <w:szCs w:val="20"/>
              </w:rPr>
              <w:t xml:space="preserve">Date:</w:t>
            </w:r>
          </w:p>
        </w:tc>
        <w:tc>
          <w:tcPr>
            <w:tcW w:type="dxa" w:w="7026"/>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color w:val="888888"/>
                <w:sz w:val="20"/>
                <w:szCs w:val="20"/>
              </w:rPr>
              <w:t xml:space="preserve">____________________</w:t>
            </w:r>
          </w:p>
        </w:tc>
      </w:tr>
      <w:tr>
        <w:tc>
          <w:tcPr>
            <w:tcW w:type="dxa" w:w="2000"/>
            <w:tcBorders>
              <w:top w:val="single" w:color="AAAAAA" w:sz="1"/>
              <w:left w:val="single" w:color="AAAAAA" w:sz="1"/>
              <w:bottom w:val="single" w:color="AAAAAA" w:sz="1"/>
              <w:right w:val="single" w:color="AAAAAA" w:sz="1"/>
            </w:tcBorders>
            <w:shd w:fill="F5F5F5" w:val="clear"/>
            <w:tcMar>
              <w:top w:type="dxa" w:w="70"/>
              <w:left w:type="dxa" w:w="120"/>
              <w:bottom w:type="dxa" w:w="70"/>
              <w:right w:type="dxa" w:w="120"/>
            </w:tcMar>
          </w:tcPr>
          <w:p>
            <w:r>
              <w:rPr>
                <w:rFonts w:ascii="Arial" w:cs="Arial" w:eastAsia="Arial" w:hAnsi="Arial"/>
                <w:b/>
                <w:bCs/>
                <w:sz w:val="20"/>
                <w:szCs w:val="20"/>
              </w:rPr>
              <w:t xml:space="preserve">Reference:</w:t>
            </w:r>
          </w:p>
        </w:tc>
        <w:tc>
          <w:tcPr>
            <w:tcW w:type="dxa" w:w="7026"/>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color w:val="888888"/>
                <w:sz w:val="20"/>
                <w:szCs w:val="20"/>
              </w:rPr>
              <w:t xml:space="preserve">Shipment No. / CMR: ____________________</w:t>
            </w:r>
          </w:p>
        </w:tc>
      </w:tr>
    </w:tbl>
    <w:p>
      <w:pPr>
        <w:spacing w:after="160" w:before="160"/>
      </w:pPr>
      <w:r>
        <w:rPr>
          <w:sz w:val="22"/>
          <w:szCs w:val="22"/>
        </w:rPr>
        <w:t xml:space="preserve"/>
      </w:r>
    </w:p>
    <w:p>
      <w:pPr>
        <w:spacing w:after="100" w:before="100"/>
        <w:jc w:val="both"/>
      </w:pPr>
      <w:r>
        <w:rPr>
          <w:rFonts w:ascii="Arial" w:cs="Arial" w:eastAsia="Arial" w:hAnsi="Arial"/>
          <w:b/>
          <w:bCs/>
          <w:i w:val="false"/>
          <w:iCs w:val="false"/>
          <w:color w:val="000000"/>
          <w:sz w:val="22"/>
          <w:szCs w:val="22"/>
        </w:rPr>
        <w:t xml:space="preserve">Subject: </w:t>
      </w:r>
      <w:r>
        <w:rPr>
          <w:rFonts w:ascii="Arial" w:cs="Arial" w:eastAsia="Arial" w:hAnsi="Arial"/>
          <w:b w:val="false"/>
          <w:bCs w:val="false"/>
          <w:i w:val="false"/>
          <w:iCs w:val="false"/>
          <w:color w:val="000000"/>
          <w:sz w:val="22"/>
          <w:szCs w:val="22"/>
        </w:rPr>
        <w:t xml:space="preserve">Claim for Statutory Waiting Time Compensation – Legge 105/2025 (D.Lgs. 286/2005, Art. 6-bis)</w:t>
      </w:r>
    </w:p>
    <w:p>
      <w:pPr>
        <w:spacing w:after="60" w:before="60"/>
      </w:pPr>
      <w:r>
        <w:rPr>
          <w:sz w:val="22"/>
          <w:szCs w:val="22"/>
        </w:rPr>
        <w:t xml:space="preserve"/>
      </w:r>
    </w:p>
    <w:p>
      <w:pPr>
        <w:spacing w:after="120" w:before="80"/>
        <w:jc w:val="both"/>
      </w:pPr>
      <w:r>
        <w:rPr>
          <w:rFonts w:ascii="Arial" w:cs="Arial" w:eastAsia="Arial" w:hAnsi="Arial"/>
          <w:b w:val="false"/>
          <w:bCs w:val="false"/>
          <w:i w:val="false"/>
          <w:iCs w:val="false"/>
          <w:color w:val="000000"/>
          <w:sz w:val="22"/>
          <w:szCs w:val="22"/>
        </w:rPr>
        <w:t xml:space="preserve">Dear Partner,</w:t>
      </w:r>
    </w:p>
    <w:p>
      <w:pPr>
        <w:spacing w:after="40" w:before="40"/>
      </w:pPr>
      <w:r>
        <w:rPr>
          <w:sz w:val="22"/>
          <w:szCs w:val="22"/>
        </w:rPr>
        <w:t xml:space="preserve"/>
      </w:r>
    </w:p>
    <w:p>
      <w:pPr>
        <w:spacing w:after="120" w:before="80"/>
        <w:jc w:val="both"/>
      </w:pPr>
      <w:r>
        <w:rPr>
          <w:rFonts w:ascii="Arial" w:cs="Arial" w:eastAsia="Arial" w:hAnsi="Arial"/>
          <w:b w:val="false"/>
          <w:bCs w:val="false"/>
          <w:i w:val="false"/>
          <w:iCs w:val="false"/>
          <w:color w:val="000000"/>
          <w:sz w:val="22"/>
          <w:szCs w:val="22"/>
        </w:rPr>
        <w:t xml:space="preserve">We hereby inform you that, under the mandatory provisions of Italian law currently in force, we are legally entitled, as a carrier, to claim waiting time compensation (indennizzo) in all cases where our vehicle is required to wait beyond the statutory free waiting period at a loading or unloading facility located in Italy.</w:t>
      </w:r>
    </w:p>
    <w:p>
      <w:pPr>
        <w:spacing w:after="120" w:before="80"/>
        <w:jc w:val="both"/>
      </w:pPr>
      <w:r>
        <w:rPr>
          <w:rFonts w:ascii="Arial" w:cs="Arial" w:eastAsia="Arial" w:hAnsi="Arial"/>
          <w:b w:val="false"/>
          <w:bCs w:val="false"/>
          <w:i w:val="false"/>
          <w:iCs w:val="false"/>
          <w:color w:val="000000"/>
          <w:sz w:val="22"/>
          <w:szCs w:val="22"/>
        </w:rPr>
        <w:t xml:space="preserve">The purpose of this notice is to inform you of the relevant statutory provisions and to notify you in advance of our intention to enforce this compensation in connection with future transport operations.</w:t>
      </w:r>
    </w:p>
    <w:p>
      <w:pPr>
        <w:spacing w:after="60" w:before="60"/>
      </w:pPr>
      <w:r>
        <w:rPr>
          <w:sz w:val="22"/>
          <w:szCs w:val="22"/>
        </w:rPr>
        <w:t xml:space="preserve"/>
      </w:r>
    </w:p>
    <w:p>
      <w:pPr>
        <w:pBdr>
          <w:bottom w:val="single" w:color="8B0000" w:sz="6" w:space="3"/>
        </w:pBdr>
        <w:spacing w:after="100" w:before="160"/>
      </w:pPr>
      <w:r>
        <w:rPr>
          <w:rFonts w:ascii="Arial" w:cs="Arial" w:eastAsia="Arial" w:hAnsi="Arial"/>
          <w:b/>
          <w:bCs/>
          <w:color w:val="8B0000"/>
          <w:sz w:val="26"/>
          <w:szCs w:val="26"/>
        </w:rPr>
        <w:t xml:space="preserve">1. LEGAL BASIS</w:t>
      </w:r>
    </w:p>
    <w:p>
      <w:pPr>
        <w:spacing w:after="120" w:before="80"/>
        <w:jc w:val="both"/>
      </w:pPr>
      <w:r>
        <w:rPr>
          <w:rFonts w:ascii="Arial" w:cs="Arial" w:eastAsia="Arial" w:hAnsi="Arial"/>
          <w:b w:val="false"/>
          <w:bCs w:val="false"/>
          <w:i w:val="false"/>
          <w:iCs w:val="false"/>
          <w:color w:val="000000"/>
          <w:sz w:val="22"/>
          <w:szCs w:val="22"/>
        </w:rPr>
        <w:t xml:space="preserve">The following Italian statutory instruments, currently in force, govern the waiting time compensation:</w:t>
      </w:r>
    </w:p>
    <w:p>
      <w:pPr>
        <w:spacing w:after="40" w:before="40"/>
      </w:pPr>
      <w:r>
        <w:rPr>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AAAAAA" w:sz="1"/>
              <w:left w:val="single" w:color="AAAAAA" w:sz="1"/>
              <w:bottom w:val="single" w:color="AAAAAA" w:sz="1"/>
              <w:right w:val="single" w:color="AAAAAA" w:sz="1"/>
            </w:tcBorders>
            <w:shd w:fill="8B0000" w:val="clear"/>
            <w:tcMar>
              <w:top w:type="dxa" w:w="80"/>
              <w:left w:type="dxa" w:w="120"/>
              <w:bottom w:type="dxa" w:w="80"/>
              <w:right w:type="dxa" w:w="120"/>
            </w:tcMar>
          </w:tcPr>
          <w:p>
            <w:r>
              <w:rPr>
                <w:rFonts w:ascii="Arial" w:cs="Arial" w:eastAsia="Arial" w:hAnsi="Arial"/>
                <w:b/>
                <w:bCs/>
                <w:color w:val="FFFFFF"/>
                <w:sz w:val="20"/>
                <w:szCs w:val="20"/>
              </w:rPr>
              <w:t xml:space="preserve">Statutory Instrument</w:t>
            </w:r>
          </w:p>
        </w:tc>
        <w:tc>
          <w:tcPr>
            <w:tcW w:type="dxa" w:w="6026"/>
            <w:tcBorders>
              <w:top w:val="single" w:color="AAAAAA" w:sz="1"/>
              <w:left w:val="single" w:color="AAAAAA" w:sz="1"/>
              <w:bottom w:val="single" w:color="AAAAAA" w:sz="1"/>
              <w:right w:val="single" w:color="AAAAAA" w:sz="1"/>
            </w:tcBorders>
            <w:shd w:fill="8B0000"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000"/>
            <w:tcBorders>
              <w:top w:val="single" w:color="AAAAAA" w:sz="1"/>
              <w:left w:val="single" w:color="AAAAAA" w:sz="1"/>
              <w:bottom w:val="single" w:color="AAAAAA" w:sz="1"/>
              <w:right w:val="single" w:color="AAAAAA" w:sz="1"/>
            </w:tcBorders>
            <w:shd w:fill="EBF3FB" w:val="clear"/>
            <w:tcMar>
              <w:top w:type="dxa" w:w="80"/>
              <w:left w:type="dxa" w:w="120"/>
              <w:bottom w:type="dxa" w:w="80"/>
              <w:right w:type="dxa" w:w="120"/>
            </w:tcMar>
          </w:tcPr>
          <w:p>
            <w:r>
              <w:rPr>
                <w:rFonts w:ascii="Arial" w:cs="Arial" w:eastAsia="Arial" w:hAnsi="Arial"/>
                <w:b/>
                <w:bCs/>
                <w:sz w:val="20"/>
                <w:szCs w:val="20"/>
              </w:rPr>
              <w:t xml:space="preserve">Legge 105/2025</w:t>
            </w:r>
          </w:p>
        </w:tc>
        <w:tc>
          <w:tcPr>
            <w:tcW w:type="dxa" w:w="60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Entry into force: 19 July 2025 – the primary governing statute currently in effect.</w:t>
            </w:r>
          </w:p>
        </w:tc>
      </w:tr>
      <w:tr>
        <w:tc>
          <w:tcPr>
            <w:tcW w:type="dxa" w:w="3000"/>
            <w:tcBorders>
              <w:top w:val="single" w:color="AAAAAA" w:sz="1"/>
              <w:left w:val="single" w:color="AAAAAA" w:sz="1"/>
              <w:bottom w:val="single" w:color="AAAAAA" w:sz="1"/>
              <w:right w:val="single" w:color="AAAAAA" w:sz="1"/>
            </w:tcBorders>
            <w:shd w:fill="FAFAFA" w:val="clear"/>
            <w:tcMar>
              <w:top w:type="dxa" w:w="80"/>
              <w:left w:type="dxa" w:w="120"/>
              <w:bottom w:type="dxa" w:w="80"/>
              <w:right w:type="dxa" w:w="120"/>
            </w:tcMar>
          </w:tcPr>
          <w:p>
            <w:r>
              <w:rPr>
                <w:rFonts w:ascii="Arial" w:cs="Arial" w:eastAsia="Arial" w:hAnsi="Arial"/>
                <w:b/>
                <w:bCs/>
                <w:sz w:val="20"/>
                <w:szCs w:val="20"/>
              </w:rPr>
              <w:t xml:space="preserve">D.L. 73/2025</w:t>
            </w:r>
          </w:p>
        </w:tc>
        <w:tc>
          <w:tcPr>
            <w:tcW w:type="dxa" w:w="60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Decreto Infrastrutture – enacted 21 May 2025; the decree introducing the amendments.</w:t>
            </w:r>
          </w:p>
        </w:tc>
      </w:tr>
      <w:tr>
        <w:tc>
          <w:tcPr>
            <w:tcW w:type="dxa" w:w="3000"/>
            <w:tcBorders>
              <w:top w:val="single" w:color="AAAAAA" w:sz="1"/>
              <w:left w:val="single" w:color="AAAAAA" w:sz="1"/>
              <w:bottom w:val="single" w:color="AAAAAA" w:sz="1"/>
              <w:right w:val="single" w:color="AAAAAA" w:sz="1"/>
            </w:tcBorders>
            <w:shd w:fill="EBF3FB" w:val="clear"/>
            <w:tcMar>
              <w:top w:type="dxa" w:w="80"/>
              <w:left w:type="dxa" w:w="120"/>
              <w:bottom w:type="dxa" w:w="80"/>
              <w:right w:type="dxa" w:w="120"/>
            </w:tcMar>
          </w:tcPr>
          <w:p>
            <w:r>
              <w:rPr>
                <w:rFonts w:ascii="Arial" w:cs="Arial" w:eastAsia="Arial" w:hAnsi="Arial"/>
                <w:b/>
                <w:bCs/>
                <w:sz w:val="20"/>
                <w:szCs w:val="20"/>
              </w:rPr>
              <w:t xml:space="preserve">D.Lgs. 286/2005, Art. 6-bis</w:t>
            </w:r>
          </w:p>
        </w:tc>
        <w:tc>
          <w:tcPr>
            <w:tcW w:type="dxa" w:w="60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The foundational Italian road haulage code; Article 6-bis sets out the detailed rules on waiting times and compensation.</w:t>
            </w:r>
          </w:p>
        </w:tc>
      </w:tr>
      <w:tr>
        <w:tc>
          <w:tcPr>
            <w:tcW w:type="dxa" w:w="3000"/>
            <w:tcBorders>
              <w:top w:val="single" w:color="AAAAAA" w:sz="1"/>
              <w:left w:val="single" w:color="AAAAAA" w:sz="1"/>
              <w:bottom w:val="single" w:color="AAAAAA" w:sz="1"/>
              <w:right w:val="single" w:color="AAAAAA" w:sz="1"/>
            </w:tcBorders>
            <w:shd w:fill="FAFAFA" w:val="clear"/>
            <w:tcMar>
              <w:top w:type="dxa" w:w="80"/>
              <w:left w:type="dxa" w:w="120"/>
              <w:bottom w:type="dxa" w:w="80"/>
              <w:right w:type="dxa" w:w="120"/>
            </w:tcMar>
          </w:tcPr>
          <w:p>
            <w:r>
              <w:rPr>
                <w:rFonts w:ascii="Arial" w:cs="Arial" w:eastAsia="Arial" w:hAnsi="Arial"/>
                <w:b/>
                <w:bCs/>
                <w:sz w:val="20"/>
                <w:szCs w:val="20"/>
              </w:rPr>
              <w:t xml:space="preserve">MIT Circolare 0013485/2025</w:t>
            </w:r>
          </w:p>
        </w:tc>
        <w:tc>
          <w:tcPr>
            <w:tcW w:type="dxa" w:w="60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Interpretative circular issued by the Ministry of Infrastructure and Transport on 4 November 2025.</w:t>
            </w:r>
          </w:p>
        </w:tc>
      </w:tr>
    </w:tbl>
    <w:p>
      <w:pPr>
        <w:spacing w:after="120" w:before="120"/>
      </w:pPr>
      <w:r>
        <w:rPr>
          <w:sz w:val="22"/>
          <w:szCs w:val="22"/>
        </w:rPr>
        <w:t xml:space="preserve"/>
      </w:r>
    </w:p>
    <w:p>
      <w:pPr>
        <w:pBdr>
          <w:bottom w:val="single" w:color="8B0000" w:sz="6" w:space="3"/>
        </w:pBdr>
        <w:spacing w:after="100" w:before="160"/>
      </w:pPr>
      <w:r>
        <w:rPr>
          <w:rFonts w:ascii="Arial" w:cs="Arial" w:eastAsia="Arial" w:hAnsi="Arial"/>
          <w:b/>
          <w:bCs/>
          <w:color w:val="8B0000"/>
          <w:sz w:val="26"/>
          <w:szCs w:val="26"/>
        </w:rPr>
        <w:t xml:space="preserve">2. KEY PROVISIONS</w:t>
      </w:r>
    </w:p>
    <w:p>
      <w:pPr>
        <w:spacing w:after="40" w:before="40"/>
      </w:pPr>
      <w:r>
        <w:rPr>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6B9C" w:sz="2"/>
              <w:left w:val="single" w:color="1F6B9C" w:sz="2"/>
              <w:bottom w:val="single" w:color="1F6B9C" w:sz="2"/>
              <w:right w:val="single" w:color="1F6B9C" w:sz="2"/>
            </w:tcBorders>
            <w:shd w:fill="EBF3FB" w:val="clear"/>
            <w:tcMar>
              <w:top w:type="dxa" w:w="160"/>
              <w:left w:type="dxa" w:w="240"/>
              <w:bottom w:type="dxa" w:w="160"/>
              <w:right w:type="dxa" w:w="240"/>
            </w:tcMar>
          </w:tcPr>
          <w:p>
            <w:pPr>
              <w:spacing w:after="60" w:before="40"/>
              <w:jc w:val="center"/>
            </w:pPr>
            <w:r>
              <w:rPr>
                <w:rFonts w:ascii="Arial" w:cs="Arial" w:eastAsia="Arial" w:hAnsi="Arial"/>
                <w:b/>
                <w:bCs/>
                <w:color w:val="8B0000"/>
                <w:sz w:val="28"/>
                <w:szCs w:val="28"/>
              </w:rPr>
              <w:t xml:space="preserve">FREE WAITING PERIOD: 90 MINUTES</w:t>
            </w:r>
          </w:p>
          <w:p>
            <w:pPr>
              <w:spacing w:after="20" w:before="20"/>
              <w:jc w:val="center"/>
            </w:pPr>
            <w:r>
              <w:rPr>
                <w:rFonts w:ascii="Arial" w:cs="Arial" w:eastAsia="Arial" w:hAnsi="Arial"/>
                <w:b/>
                <w:bCs/>
                <w:color w:val="1F3A5F"/>
                <w:sz w:val="26"/>
                <w:szCs w:val="26"/>
              </w:rPr>
              <w:t xml:space="preserve">COMPENSATION: EUR 100 PER COMMENCED HOUR</w:t>
            </w:r>
          </w:p>
          <w:p>
            <w:pPr>
              <w:spacing w:after="40" w:before="20"/>
              <w:jc w:val="center"/>
            </w:pPr>
            <w:r>
              <w:rPr>
                <w:rFonts w:ascii="Arial" w:cs="Arial" w:eastAsia="Arial" w:hAnsi="Arial"/>
                <w:i/>
                <w:iCs/>
                <w:color w:val="444444"/>
                <w:sz w:val="20"/>
                <w:szCs w:val="20"/>
              </w:rPr>
              <w:t xml:space="preserve">This rule is mandatory – it cannot be contracted out of to the carrier's detriment.</w:t>
            </w:r>
          </w:p>
        </w:tc>
      </w:tr>
    </w:tbl>
    <w:p>
      <w:pPr>
        <w:spacing w:after="120" w:before="120"/>
      </w:pPr>
      <w:r>
        <w:rPr>
          <w:sz w:val="22"/>
          <w:szCs w:val="22"/>
        </w:rPr>
        <w:t xml:space="preserve"/>
      </w:r>
    </w:p>
    <w:p>
      <w:pPr>
        <w:spacing w:after="120" w:before="80"/>
        <w:jc w:val="both"/>
      </w:pPr>
      <w:r>
        <w:rPr>
          <w:rFonts w:ascii="Arial" w:cs="Arial" w:eastAsia="Arial" w:hAnsi="Arial"/>
          <w:b w:val="false"/>
          <w:bCs w:val="false"/>
          <w:i w:val="false"/>
          <w:iCs w:val="false"/>
          <w:color w:val="000000"/>
          <w:sz w:val="22"/>
          <w:szCs w:val="22"/>
        </w:rPr>
        <w:t xml:space="preserve">The most important provisions of the regulation are as follows:</w:t>
      </w:r>
    </w:p>
    <w:p>
      <w:pPr>
        <w:spacing w:after="40" w:before="40"/>
      </w:pPr>
      <w:r>
        <w:rPr>
          <w:sz w:val="22"/>
          <w:szCs w:val="22"/>
        </w:rPr>
        <w:t xml:space="preserve"/>
      </w:r>
    </w:p>
    <w:p>
      <w:pPr>
        <w:pStyle w:val="ListParagraph"/>
        <w:numPr>
          <w:ilvl w:val="0"/>
          <w:numId w:val="2"/>
        </w:numPr>
        <w:spacing w:after="60" w:before="60"/>
      </w:pPr>
      <w:r>
        <w:rPr>
          <w:rFonts w:ascii="Arial" w:cs="Arial" w:eastAsia="Arial" w:hAnsi="Arial"/>
          <w:sz w:val="22"/>
          <w:szCs w:val="22"/>
        </w:rPr>
        <w:t xml:space="preserve">The free waiting period (franchigia) is 90 minutes, calculated from the moment the vehicle arrives at the loading or unloading facility.</w:t>
      </w:r>
    </w:p>
    <w:p>
      <w:pPr>
        <w:pStyle w:val="ListParagraph"/>
        <w:numPr>
          <w:ilvl w:val="0"/>
          <w:numId w:val="2"/>
        </w:numPr>
        <w:spacing w:after="60" w:before="60"/>
      </w:pPr>
      <w:r>
        <w:rPr>
          <w:rFonts w:ascii="Arial" w:cs="Arial" w:eastAsia="Arial" w:hAnsi="Arial"/>
          <w:sz w:val="22"/>
          <w:szCs w:val="22"/>
        </w:rPr>
        <w:t xml:space="preserve">If loading or unloading does not commence within 90 minutes of arrival, the carrier is entitled to compensation (indennizzo) of EUR 100 for each commenced hour of delay.</w:t>
      </w:r>
    </w:p>
    <w:p>
      <w:pPr>
        <w:pStyle w:val="ListParagraph"/>
        <w:numPr>
          <w:ilvl w:val="0"/>
          <w:numId w:val="2"/>
        </w:numPr>
        <w:spacing w:after="60" w:before="60"/>
      </w:pPr>
      <w:r>
        <w:rPr>
          <w:rFonts w:ascii="Arial" w:cs="Arial" w:eastAsia="Arial" w:hAnsi="Arial"/>
          <w:sz w:val="22"/>
          <w:szCs w:val="22"/>
        </w:rPr>
        <w:t xml:space="preserve">Any part of an hour counts as a full hour: even one minute beyond the free period gives rise to EUR 100 in compensation.</w:t>
      </w:r>
    </w:p>
    <w:p>
      <w:pPr>
        <w:pStyle w:val="ListParagraph"/>
        <w:numPr>
          <w:ilvl w:val="0"/>
          <w:numId w:val="2"/>
        </w:numPr>
        <w:spacing w:after="60" w:before="60"/>
      </w:pPr>
      <w:r>
        <w:rPr>
          <w:rFonts w:ascii="Arial" w:cs="Arial" w:eastAsia="Arial" w:hAnsi="Arial"/>
          <w:sz w:val="22"/>
          <w:szCs w:val="22"/>
        </w:rPr>
        <w:t xml:space="preserve">The amount is subject to automatic annual adjustment in line with the ISTAT FOI consumer price index.</w:t>
      </w:r>
    </w:p>
    <w:p>
      <w:pPr>
        <w:pStyle w:val="ListParagraph"/>
        <w:numPr>
          <w:ilvl w:val="0"/>
          <w:numId w:val="2"/>
        </w:numPr>
        <w:spacing w:after="60" w:before="60"/>
      </w:pPr>
      <w:r>
        <w:rPr>
          <w:rFonts w:ascii="Arial" w:cs="Arial" w:eastAsia="Arial" w:hAnsi="Arial"/>
          <w:sz w:val="22"/>
          <w:szCs w:val="22"/>
        </w:rPr>
        <w:t xml:space="preserve">The rule is mandatory (inderogabile): the parties may not contractually exclude or reduce the compensation, nor may they extend the free waiting period to the carrier's detriment. Any such contractual provision is void.</w:t>
      </w:r>
    </w:p>
    <w:p>
      <w:pPr>
        <w:pStyle w:val="ListParagraph"/>
        <w:numPr>
          <w:ilvl w:val="0"/>
          <w:numId w:val="2"/>
        </w:numPr>
        <w:spacing w:after="60" w:before="60"/>
      </w:pPr>
      <w:r>
        <w:rPr>
          <w:rFonts w:ascii="Arial" w:cs="Arial" w:eastAsia="Arial" w:hAnsi="Arial"/>
          <w:sz w:val="22"/>
          <w:szCs w:val="22"/>
        </w:rPr>
        <w:t xml:space="preserve">The consignor (committente) and the loader (caricatore) are JOINTLY AND SEVERALLY liable for payment of the compensation – even where the delay was actually caused by a third party.</w:t>
      </w:r>
    </w:p>
    <w:p>
      <w:pPr>
        <w:spacing w:after="80" w:before="80"/>
      </w:pPr>
      <w:r>
        <w:rPr>
          <w:sz w:val="22"/>
          <w:szCs w:val="22"/>
        </w:rPr>
        <w:t xml:space="preserve"/>
      </w:r>
    </w:p>
    <w:p>
      <w:pPr>
        <w:spacing w:after="80" w:before="100"/>
      </w:pPr>
      <w:r>
        <w:rPr>
          <w:rFonts w:ascii="Arial" w:cs="Arial" w:eastAsia="Arial" w:hAnsi="Arial"/>
          <w:b/>
          <w:bCs/>
          <w:sz w:val="22"/>
          <w:szCs w:val="22"/>
        </w:rPr>
        <w:t xml:space="preserve">Calculation examples: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200"/>
        <w:gridCol w:w="2226"/>
      </w:tblGrid>
      <w:tr>
        <w:tc>
          <w:tcPr>
            <w:tcW w:type="dxa" w:w="2200"/>
            <w:tcBorders>
              <w:top w:val="single" w:color="AAAAAA" w:sz="1"/>
              <w:left w:val="single" w:color="AAAAAA" w:sz="1"/>
              <w:bottom w:val="single" w:color="AAAAAA" w:sz="1"/>
              <w:right w:val="single" w:color="AAAAAA" w:sz="1"/>
            </w:tcBorders>
            <w:shd w:fill="1F3A5F" w:val="clear"/>
            <w:tcMar>
              <w:top w:type="dxa" w:w="80"/>
              <w:left w:type="dxa" w:w="120"/>
              <w:bottom w:type="dxa" w:w="80"/>
              <w:right w:type="dxa" w:w="120"/>
            </w:tcMar>
          </w:tcPr>
          <w:p>
            <w:r>
              <w:rPr>
                <w:rFonts w:ascii="Arial" w:cs="Arial" w:eastAsia="Arial" w:hAnsi="Arial"/>
                <w:b/>
                <w:bCs/>
                <w:color w:val="FFFFFF"/>
                <w:sz w:val="20"/>
                <w:szCs w:val="20"/>
              </w:rPr>
              <w:t xml:space="preserve">Total waiting time</w:t>
            </w:r>
          </w:p>
        </w:tc>
        <w:tc>
          <w:tcPr>
            <w:tcW w:type="dxa" w:w="2400"/>
            <w:tcBorders>
              <w:top w:val="single" w:color="AAAAAA" w:sz="1"/>
              <w:left w:val="single" w:color="AAAAAA" w:sz="1"/>
              <w:bottom w:val="single" w:color="AAAAAA" w:sz="1"/>
              <w:right w:val="single" w:color="AAAAAA" w:sz="1"/>
            </w:tcBorders>
            <w:shd w:fill="1F3A5F" w:val="clear"/>
            <w:tcMar>
              <w:top w:type="dxa" w:w="80"/>
              <w:left w:type="dxa" w:w="120"/>
              <w:bottom w:type="dxa" w:w="80"/>
              <w:right w:type="dxa" w:w="120"/>
            </w:tcMar>
          </w:tcPr>
          <w:p>
            <w:r>
              <w:rPr>
                <w:rFonts w:ascii="Arial" w:cs="Arial" w:eastAsia="Arial" w:hAnsi="Arial"/>
                <w:b/>
                <w:bCs/>
                <w:color w:val="FFFFFF"/>
                <w:sz w:val="20"/>
                <w:szCs w:val="20"/>
              </w:rPr>
              <w:t xml:space="preserve">Free period</w:t>
            </w:r>
          </w:p>
        </w:tc>
        <w:tc>
          <w:tcPr>
            <w:tcW w:type="dxa" w:w="2200"/>
            <w:tcBorders>
              <w:top w:val="single" w:color="AAAAAA" w:sz="1"/>
              <w:left w:val="single" w:color="AAAAAA" w:sz="1"/>
              <w:bottom w:val="single" w:color="AAAAAA" w:sz="1"/>
              <w:right w:val="single" w:color="AAAAAA" w:sz="1"/>
            </w:tcBorders>
            <w:shd w:fill="1F3A5F" w:val="clear"/>
            <w:tcMar>
              <w:top w:type="dxa" w:w="80"/>
              <w:left w:type="dxa" w:w="120"/>
              <w:bottom w:type="dxa" w:w="80"/>
              <w:right w:type="dxa" w:w="120"/>
            </w:tcMar>
          </w:tcPr>
          <w:p>
            <w:r>
              <w:rPr>
                <w:rFonts w:ascii="Arial" w:cs="Arial" w:eastAsia="Arial" w:hAnsi="Arial"/>
                <w:b/>
                <w:bCs/>
                <w:color w:val="FFFFFF"/>
                <w:sz w:val="20"/>
                <w:szCs w:val="20"/>
              </w:rPr>
              <w:t xml:space="preserve">Chargeable time</w:t>
            </w:r>
          </w:p>
        </w:tc>
        <w:tc>
          <w:tcPr>
            <w:tcW w:type="dxa" w:w="2226"/>
            <w:tcBorders>
              <w:top w:val="single" w:color="AAAAAA" w:sz="1"/>
              <w:left w:val="single" w:color="AAAAAA" w:sz="1"/>
              <w:bottom w:val="single" w:color="AAAAAA" w:sz="1"/>
              <w:right w:val="single" w:color="AAAAAA" w:sz="1"/>
            </w:tcBorders>
            <w:shd w:fill="1F3A5F" w:val="clear"/>
            <w:tcMar>
              <w:top w:type="dxa" w:w="80"/>
              <w:left w:type="dxa" w:w="120"/>
              <w:bottom w:type="dxa" w:w="80"/>
              <w:right w:type="dxa" w:w="120"/>
            </w:tcMar>
          </w:tcPr>
          <w:p>
            <w:r>
              <w:rPr>
                <w:rFonts w:ascii="Arial" w:cs="Arial" w:eastAsia="Arial" w:hAnsi="Arial"/>
                <w:b/>
                <w:bCs/>
                <w:color w:val="FFFFFF"/>
                <w:sz w:val="20"/>
                <w:szCs w:val="20"/>
              </w:rPr>
              <w:t xml:space="preserve">Compensation due</w:t>
            </w:r>
          </w:p>
        </w:tc>
      </w:tr>
      <w:tr>
        <w:tc>
          <w:tcPr>
            <w:tcW w:type="dxa" w:w="2200"/>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sz w:val="20"/>
                <w:szCs w:val="20"/>
              </w:rPr>
              <w:t xml:space="preserve">1.5 – 2.5 hours</w:t>
            </w:r>
          </w:p>
        </w:tc>
        <w:tc>
          <w:tcPr>
            <w:tcW w:type="dxa" w:w="2400"/>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sz w:val="20"/>
                <w:szCs w:val="20"/>
              </w:rPr>
              <w:t xml:space="preserve">90 minutes</w:t>
            </w:r>
          </w:p>
        </w:tc>
        <w:tc>
          <w:tcPr>
            <w:tcW w:type="dxa" w:w="2200"/>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sz w:val="20"/>
                <w:szCs w:val="20"/>
              </w:rPr>
              <w:t xml:space="preserve">1 commenced hour</w:t>
            </w:r>
          </w:p>
        </w:tc>
        <w:tc>
          <w:tcPr>
            <w:tcW w:type="dxa" w:w="2226"/>
            <w:tcBorders>
              <w:top w:val="single" w:color="AAAAAA" w:sz="1"/>
              <w:left w:val="single" w:color="AAAAAA" w:sz="1"/>
              <w:bottom w:val="single" w:color="AAAAAA" w:sz="1"/>
              <w:right w:val="single" w:color="AAAAAA" w:sz="1"/>
            </w:tcBorders>
            <w:shd w:fill="FFF2CC" w:val="clear"/>
            <w:tcMar>
              <w:top w:type="dxa" w:w="70"/>
              <w:left w:type="dxa" w:w="120"/>
              <w:bottom w:type="dxa" w:w="70"/>
              <w:right w:type="dxa" w:w="120"/>
            </w:tcMar>
          </w:tcPr>
          <w:p>
            <w:r>
              <w:rPr>
                <w:rFonts w:ascii="Arial" w:cs="Arial" w:eastAsia="Arial" w:hAnsi="Arial"/>
                <w:b/>
                <w:bCs/>
                <w:sz w:val="20"/>
                <w:szCs w:val="20"/>
              </w:rPr>
              <w:t xml:space="preserve">EUR 100</w:t>
            </w:r>
          </w:p>
        </w:tc>
      </w:tr>
      <w:tr>
        <w:tc>
          <w:tcPr>
            <w:tcW w:type="dxa" w:w="2200"/>
            <w:tcBorders>
              <w:top w:val="single" w:color="AAAAAA" w:sz="1"/>
              <w:left w:val="single" w:color="AAAAAA" w:sz="1"/>
              <w:bottom w:val="single" w:color="AAAAAA" w:sz="1"/>
              <w:right w:val="single" w:color="AAAAAA" w:sz="1"/>
            </w:tcBorders>
            <w:shd w:fill="F5F5F5" w:val="clear"/>
            <w:tcMar>
              <w:top w:type="dxa" w:w="70"/>
              <w:left w:type="dxa" w:w="120"/>
              <w:bottom w:type="dxa" w:w="70"/>
              <w:right w:type="dxa" w:w="120"/>
            </w:tcMar>
          </w:tcPr>
          <w:p>
            <w:r>
              <w:rPr>
                <w:rFonts w:ascii="Arial" w:cs="Arial" w:eastAsia="Arial" w:hAnsi="Arial"/>
                <w:sz w:val="20"/>
                <w:szCs w:val="20"/>
              </w:rPr>
              <w:t xml:space="preserve">4 hours</w:t>
            </w:r>
          </w:p>
        </w:tc>
        <w:tc>
          <w:tcPr>
            <w:tcW w:type="dxa" w:w="2400"/>
            <w:tcBorders>
              <w:top w:val="single" w:color="AAAAAA" w:sz="1"/>
              <w:left w:val="single" w:color="AAAAAA" w:sz="1"/>
              <w:bottom w:val="single" w:color="AAAAAA" w:sz="1"/>
              <w:right w:val="single" w:color="AAAAAA" w:sz="1"/>
            </w:tcBorders>
            <w:shd w:fill="F5F5F5" w:val="clear"/>
            <w:tcMar>
              <w:top w:type="dxa" w:w="70"/>
              <w:left w:type="dxa" w:w="120"/>
              <w:bottom w:type="dxa" w:w="70"/>
              <w:right w:type="dxa" w:w="120"/>
            </w:tcMar>
          </w:tcPr>
          <w:p>
            <w:r>
              <w:rPr>
                <w:rFonts w:ascii="Arial" w:cs="Arial" w:eastAsia="Arial" w:hAnsi="Arial"/>
                <w:sz w:val="20"/>
                <w:szCs w:val="20"/>
              </w:rPr>
              <w:t xml:space="preserve">90 minutes</w:t>
            </w:r>
          </w:p>
        </w:tc>
        <w:tc>
          <w:tcPr>
            <w:tcW w:type="dxa" w:w="2200"/>
            <w:tcBorders>
              <w:top w:val="single" w:color="AAAAAA" w:sz="1"/>
              <w:left w:val="single" w:color="AAAAAA" w:sz="1"/>
              <w:bottom w:val="single" w:color="AAAAAA" w:sz="1"/>
              <w:right w:val="single" w:color="AAAAAA" w:sz="1"/>
            </w:tcBorders>
            <w:shd w:fill="F5F5F5" w:val="clear"/>
            <w:tcMar>
              <w:top w:type="dxa" w:w="70"/>
              <w:left w:type="dxa" w:w="120"/>
              <w:bottom w:type="dxa" w:w="70"/>
              <w:right w:type="dxa" w:w="120"/>
            </w:tcMar>
          </w:tcPr>
          <w:p>
            <w:r>
              <w:rPr>
                <w:rFonts w:ascii="Arial" w:cs="Arial" w:eastAsia="Arial" w:hAnsi="Arial"/>
                <w:sz w:val="20"/>
                <w:szCs w:val="20"/>
              </w:rPr>
              <w:t xml:space="preserve">3 commenced hours (150 min)</w:t>
            </w:r>
          </w:p>
        </w:tc>
        <w:tc>
          <w:tcPr>
            <w:tcW w:type="dxa" w:w="2226"/>
            <w:tcBorders>
              <w:top w:val="single" w:color="AAAAAA" w:sz="1"/>
              <w:left w:val="single" w:color="AAAAAA" w:sz="1"/>
              <w:bottom w:val="single" w:color="AAAAAA" w:sz="1"/>
              <w:right w:val="single" w:color="AAAAAA" w:sz="1"/>
            </w:tcBorders>
            <w:shd w:fill="FFF2CC" w:val="clear"/>
            <w:tcMar>
              <w:top w:type="dxa" w:w="70"/>
              <w:left w:type="dxa" w:w="120"/>
              <w:bottom w:type="dxa" w:w="70"/>
              <w:right w:type="dxa" w:w="120"/>
            </w:tcMar>
          </w:tcPr>
          <w:p>
            <w:r>
              <w:rPr>
                <w:rFonts w:ascii="Arial" w:cs="Arial" w:eastAsia="Arial" w:hAnsi="Arial"/>
                <w:b/>
                <w:bCs/>
                <w:sz w:val="20"/>
                <w:szCs w:val="20"/>
              </w:rPr>
              <w:t xml:space="preserve">EUR 300</w:t>
            </w:r>
          </w:p>
        </w:tc>
      </w:tr>
      <w:tr>
        <w:tc>
          <w:tcPr>
            <w:tcW w:type="dxa" w:w="2200"/>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sz w:val="20"/>
                <w:szCs w:val="20"/>
              </w:rPr>
              <w:t xml:space="preserve">6 hours</w:t>
            </w:r>
          </w:p>
        </w:tc>
        <w:tc>
          <w:tcPr>
            <w:tcW w:type="dxa" w:w="2400"/>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sz w:val="20"/>
                <w:szCs w:val="20"/>
              </w:rPr>
              <w:t xml:space="preserve">90 minutes</w:t>
            </w:r>
          </w:p>
        </w:tc>
        <w:tc>
          <w:tcPr>
            <w:tcW w:type="dxa" w:w="2200"/>
            <w:tcBorders>
              <w:top w:val="single" w:color="AAAAAA" w:sz="1"/>
              <w:left w:val="single" w:color="AAAAAA" w:sz="1"/>
              <w:bottom w:val="single" w:color="AAAAAA" w:sz="1"/>
              <w:right w:val="single" w:color="AAAAAA" w:sz="1"/>
            </w:tcBorders>
            <w:tcMar>
              <w:top w:type="dxa" w:w="70"/>
              <w:left w:type="dxa" w:w="120"/>
              <w:bottom w:type="dxa" w:w="70"/>
              <w:right w:type="dxa" w:w="120"/>
            </w:tcMar>
          </w:tcPr>
          <w:p>
            <w:r>
              <w:rPr>
                <w:rFonts w:ascii="Arial" w:cs="Arial" w:eastAsia="Arial" w:hAnsi="Arial"/>
                <w:sz w:val="20"/>
                <w:szCs w:val="20"/>
              </w:rPr>
              <w:t xml:space="preserve">5 commenced hours (270 min)</w:t>
            </w:r>
          </w:p>
        </w:tc>
        <w:tc>
          <w:tcPr>
            <w:tcW w:type="dxa" w:w="2226"/>
            <w:tcBorders>
              <w:top w:val="single" w:color="AAAAAA" w:sz="1"/>
              <w:left w:val="single" w:color="AAAAAA" w:sz="1"/>
              <w:bottom w:val="single" w:color="AAAAAA" w:sz="1"/>
              <w:right w:val="single" w:color="AAAAAA" w:sz="1"/>
            </w:tcBorders>
            <w:shd w:fill="FFF2CC" w:val="clear"/>
            <w:tcMar>
              <w:top w:type="dxa" w:w="70"/>
              <w:left w:type="dxa" w:w="120"/>
              <w:bottom w:type="dxa" w:w="70"/>
              <w:right w:type="dxa" w:w="120"/>
            </w:tcMar>
          </w:tcPr>
          <w:p>
            <w:r>
              <w:rPr>
                <w:rFonts w:ascii="Arial" w:cs="Arial" w:eastAsia="Arial" w:hAnsi="Arial"/>
                <w:b/>
                <w:bCs/>
                <w:sz w:val="20"/>
                <w:szCs w:val="20"/>
              </w:rPr>
              <w:t xml:space="preserve">EUR 500</w:t>
            </w:r>
          </w:p>
        </w:tc>
      </w:tr>
    </w:tbl>
    <w:p>
      <w:pPr>
        <w:spacing w:after="120" w:before="120"/>
      </w:pPr>
      <w:r>
        <w:rPr>
          <w:sz w:val="22"/>
          <w:szCs w:val="22"/>
        </w:rPr>
        <w:t xml:space="preserve"/>
      </w:r>
    </w:p>
    <w:p>
      <w:pPr>
        <w:pBdr>
          <w:bottom w:val="single" w:color="8B0000" w:sz="6" w:space="3"/>
        </w:pBdr>
        <w:spacing w:after="100" w:before="160"/>
      </w:pPr>
      <w:r>
        <w:rPr>
          <w:rFonts w:ascii="Arial" w:cs="Arial" w:eastAsia="Arial" w:hAnsi="Arial"/>
          <w:b/>
          <w:bCs/>
          <w:color w:val="8B0000"/>
          <w:sz w:val="26"/>
          <w:szCs w:val="26"/>
        </w:rPr>
        <w:t xml:space="preserve">3. NOTICE OF ENFORCEMENT</w:t>
      </w:r>
    </w:p>
    <w:p>
      <w:pPr>
        <w:spacing w:after="120" w:before="80"/>
        <w:jc w:val="both"/>
      </w:pPr>
      <w:r>
        <w:rPr>
          <w:rFonts w:ascii="Arial" w:cs="Arial" w:eastAsia="Arial" w:hAnsi="Arial"/>
          <w:b w:val="false"/>
          <w:bCs w:val="false"/>
          <w:i w:val="false"/>
          <w:iCs w:val="false"/>
          <w:color w:val="000000"/>
          <w:sz w:val="22"/>
          <w:szCs w:val="22"/>
        </w:rPr>
        <w:t xml:space="preserve">We hereby notify you that, with respect to all future transport operations, we will enforce our entitlement to compensation as provided by the statutory provisions set out above. The compensation will be calculated as follows:</w:t>
      </w:r>
    </w:p>
    <w:p>
      <w:pPr>
        <w:spacing w:after="40" w:before="40"/>
      </w:pPr>
      <w:r>
        <w:rPr>
          <w:sz w:val="22"/>
          <w:szCs w:val="22"/>
        </w:rPr>
        <w:t xml:space="preserve"/>
      </w:r>
    </w:p>
    <w:p>
      <w:pPr>
        <w:pStyle w:val="ListParagraph"/>
        <w:numPr>
          <w:ilvl w:val="0"/>
          <w:numId w:val="2"/>
        </w:numPr>
        <w:spacing w:after="60" w:before="60"/>
      </w:pPr>
      <w:r>
        <w:rPr>
          <w:rFonts w:ascii="Arial" w:cs="Arial" w:eastAsia="Arial" w:hAnsi="Arial"/>
          <w:sz w:val="22"/>
          <w:szCs w:val="22"/>
        </w:rPr>
        <w:t xml:space="preserve">The time of arrival will be documented by means of the tachograph, GPS tracking system and/or entries on the CMR consignment note.</w:t>
      </w:r>
    </w:p>
    <w:p>
      <w:pPr>
        <w:pStyle w:val="ListParagraph"/>
        <w:numPr>
          <w:ilvl w:val="0"/>
          <w:numId w:val="2"/>
        </w:numPr>
        <w:spacing w:after="60" w:before="60"/>
      </w:pPr>
      <w:r>
        <w:rPr>
          <w:rFonts w:ascii="Arial" w:cs="Arial" w:eastAsia="Arial" w:hAnsi="Arial"/>
          <w:sz w:val="22"/>
          <w:szCs w:val="22"/>
        </w:rPr>
        <w:t xml:space="preserve">Upon expiry of the free waiting period, an invoice for the compensation will be issued.</w:t>
      </w:r>
    </w:p>
    <w:p>
      <w:pPr>
        <w:pStyle w:val="ListParagraph"/>
        <w:numPr>
          <w:ilvl w:val="0"/>
          <w:numId w:val="2"/>
        </w:numPr>
        <w:spacing w:after="60" w:before="60"/>
      </w:pPr>
      <w:r>
        <w:rPr>
          <w:rFonts w:ascii="Arial" w:cs="Arial" w:eastAsia="Arial" w:hAnsi="Arial"/>
          <w:sz w:val="22"/>
          <w:szCs w:val="22"/>
        </w:rPr>
        <w:t xml:space="preserve">Invoices will be issued with a payment term of 60 days, in accordance with applicable Italian law.</w:t>
      </w:r>
    </w:p>
    <w:p>
      <w:pPr>
        <w:pStyle w:val="ListParagraph"/>
        <w:numPr>
          <w:ilvl w:val="0"/>
          <w:numId w:val="2"/>
        </w:numPr>
        <w:spacing w:after="60" w:before="60"/>
      </w:pPr>
      <w:r>
        <w:rPr>
          <w:rFonts w:ascii="Arial" w:cs="Arial" w:eastAsia="Arial" w:hAnsi="Arial"/>
          <w:sz w:val="22"/>
          <w:szCs w:val="22"/>
        </w:rPr>
        <w:t xml:space="preserve">In the event of non-payment, we will initiate payment order proceedings (decreto ingiuntivo) and, in cases of repeated non-compliance, we will refer the matter to the Autorità Garante della Concorrenza e del Mercato (AGCM).</w:t>
      </w:r>
    </w:p>
    <w:p>
      <w:pPr>
        <w:spacing w:after="80" w:before="80"/>
      </w:pPr>
      <w:r>
        <w:rPr>
          <w:sz w:val="22"/>
          <w:szCs w:val="22"/>
        </w:rPr>
        <w:t xml:space="preserve"/>
      </w:r>
    </w:p>
    <w:p>
      <w:pPr>
        <w:pBdr>
          <w:left w:val="single" w:color="C00000" w:sz="20" w:space="8"/>
        </w:pBdr>
        <w:spacing w:after="120" w:before="120"/>
        <w:ind w:left="180"/>
        <w:jc w:val="both"/>
      </w:pPr>
      <w:r>
        <w:rPr>
          <w:rFonts w:ascii="Arial" w:cs="Arial" w:eastAsia="Arial" w:hAnsi="Arial"/>
          <w:b/>
          <w:bCs/>
          <w:color w:val="C00000"/>
          <w:sz w:val="22"/>
          <w:szCs w:val="22"/>
        </w:rPr>
        <w:t xml:space="preserve">PLEASE NOTE: The limitation period for this claim is one year. We will enforce our claim for compensation within one year of completion of each transport operation. Refusal to pay or failure to respond does not extinguish your statutory obligation.</w:t>
      </w:r>
    </w:p>
    <w:p>
      <w:pPr>
        <w:spacing w:after="120" w:before="120"/>
      </w:pPr>
      <w:r>
        <w:rPr>
          <w:sz w:val="22"/>
          <w:szCs w:val="22"/>
        </w:rPr>
        <w:t xml:space="preserve"/>
      </w:r>
    </w:p>
    <w:p>
      <w:pPr>
        <w:pBdr>
          <w:bottom w:val="single" w:color="8B0000" w:sz="6" w:space="3"/>
        </w:pBdr>
        <w:spacing w:after="100" w:before="160"/>
      </w:pPr>
      <w:r>
        <w:rPr>
          <w:rFonts w:ascii="Arial" w:cs="Arial" w:eastAsia="Arial" w:hAnsi="Arial"/>
          <w:b/>
          <w:bCs/>
          <w:color w:val="8B0000"/>
          <w:sz w:val="26"/>
          <w:szCs w:val="26"/>
        </w:rPr>
        <w:t xml:space="preserve">4. OUR REQUEST</w:t>
      </w:r>
    </w:p>
    <w:p>
      <w:pPr>
        <w:spacing w:after="120" w:before="80"/>
        <w:jc w:val="both"/>
      </w:pPr>
      <w:r>
        <w:rPr>
          <w:rFonts w:ascii="Arial" w:cs="Arial" w:eastAsia="Arial" w:hAnsi="Arial"/>
          <w:b w:val="false"/>
          <w:bCs w:val="false"/>
          <w:i w:val="false"/>
          <w:iCs w:val="false"/>
          <w:color w:val="000000"/>
          <w:sz w:val="22"/>
          <w:szCs w:val="22"/>
        </w:rPr>
        <w:t xml:space="preserve">We kindly request that you:</w:t>
      </w:r>
    </w:p>
    <w:p>
      <w:pPr>
        <w:spacing w:after="40" w:before="40"/>
      </w:pPr>
      <w:r>
        <w:rPr>
          <w:sz w:val="22"/>
          <w:szCs w:val="22"/>
        </w:rPr>
        <w:t xml:space="preserve"/>
      </w:r>
    </w:p>
    <w:p>
      <w:pPr>
        <w:pStyle w:val="ListParagraph"/>
        <w:numPr>
          <w:ilvl w:val="0"/>
          <w:numId w:val="2"/>
        </w:numPr>
        <w:spacing w:after="60" w:before="60"/>
      </w:pPr>
      <w:r>
        <w:rPr>
          <w:rFonts w:ascii="Arial" w:cs="Arial" w:eastAsia="Arial" w:hAnsi="Arial"/>
          <w:sz w:val="22"/>
          <w:szCs w:val="22"/>
        </w:rPr>
        <w:t xml:space="preserve">ensure that our vehicle is able to commence loading or unloading within 90 minutes of arrival;</w:t>
      </w:r>
    </w:p>
    <w:p>
      <w:pPr>
        <w:pStyle w:val="ListParagraph"/>
        <w:numPr>
          <w:ilvl w:val="0"/>
          <w:numId w:val="2"/>
        </w:numPr>
        <w:spacing w:after="60" w:before="60"/>
      </w:pPr>
      <w:r>
        <w:rPr>
          <w:rFonts w:ascii="Arial" w:cs="Arial" w:eastAsia="Arial" w:hAnsi="Arial"/>
          <w:sz w:val="22"/>
          <w:szCs w:val="22"/>
        </w:rPr>
        <w:t xml:space="preserve">designate the specific loading/unloading bay in advance, and provide our driver with clear instructions regarding arrival procedures and site access;</w:t>
      </w:r>
    </w:p>
    <w:p>
      <w:pPr>
        <w:pStyle w:val="ListParagraph"/>
        <w:numPr>
          <w:ilvl w:val="0"/>
          <w:numId w:val="2"/>
        </w:numPr>
        <w:spacing w:after="60" w:before="60"/>
      </w:pPr>
      <w:r>
        <w:rPr>
          <w:rFonts w:ascii="Arial" w:cs="Arial" w:eastAsia="Arial" w:hAnsi="Arial"/>
          <w:sz w:val="22"/>
          <w:szCs w:val="22"/>
        </w:rPr>
        <w:t xml:space="preserve">confirm the precise time of arrival in your gate management system or on the consignment note;</w:t>
      </w:r>
    </w:p>
    <w:p>
      <w:pPr>
        <w:pStyle w:val="ListParagraph"/>
        <w:numPr>
          <w:ilvl w:val="0"/>
          <w:numId w:val="2"/>
        </w:numPr>
        <w:spacing w:after="60" w:before="60"/>
      </w:pPr>
      <w:r>
        <w:rPr>
          <w:rFonts w:ascii="Arial" w:cs="Arial" w:eastAsia="Arial" w:hAnsi="Arial"/>
          <w:sz w:val="22"/>
          <w:szCs w:val="22"/>
        </w:rPr>
        <w:t xml:space="preserve">in the event that the 90-minute free period cannot be observed due to operational reasons, notify our transport team in advance and agree on the settlement of any compensation due.</w:t>
      </w:r>
    </w:p>
    <w:p>
      <w:pPr>
        <w:spacing w:after="80" w:before="80"/>
      </w:pPr>
      <w:r>
        <w:rPr>
          <w:sz w:val="22"/>
          <w:szCs w:val="22"/>
        </w:rPr>
        <w:t xml:space="preserve"/>
      </w:r>
    </w:p>
    <w:p>
      <w:pPr>
        <w:pBdr>
          <w:left w:val="single" w:color="1F6B9C" w:sz="20" w:space="8"/>
        </w:pBdr>
        <w:spacing w:after="120" w:before="120"/>
        <w:ind w:left="180"/>
        <w:jc w:val="both"/>
      </w:pPr>
      <w:r>
        <w:rPr>
          <w:rFonts w:ascii="Arial" w:cs="Arial" w:eastAsia="Arial" w:hAnsi="Arial"/>
          <w:color w:val="1F3A5F"/>
          <w:sz w:val="22"/>
          <w:szCs w:val="22"/>
        </w:rPr>
        <w:t xml:space="preserve">We wish to emphasise that our intention is not to impose sanctions, but to give effect to a framework that is transparent and equitable for both parties, as required by law. We thank you for your understanding and cooperation.</w:t>
      </w:r>
    </w:p>
    <w:p>
      <w:pPr>
        <w:spacing w:after="160" w:before="160"/>
      </w:pPr>
      <w:r>
        <w:rPr>
          <w:sz w:val="22"/>
          <w:szCs w:val="22"/>
        </w:rPr>
        <w:t xml:space="preserve"/>
      </w:r>
    </w:p>
    <w:p>
      <w:pPr>
        <w:pBdr>
          <w:top w:val="single" w:color="AAAAAA" w:sz="3" w:space="4"/>
        </w:pBdr>
        <w:spacing w:after="60" w:before="120"/>
      </w:pPr>
      <w:r>
        <w:rPr>
          <w:rFonts w:ascii="Arial" w:cs="Arial" w:eastAsia="Arial" w:hAnsi="Arial"/>
          <w:sz w:val="22"/>
          <w:szCs w:val="22"/>
        </w:rPr>
        <w:t xml:space="preserve">Yours sincerely,</w:t>
      </w:r>
    </w:p>
    <w:p>
      <w:pPr>
        <w:spacing w:after="60" w:before="60"/>
      </w:pPr>
      <w:r>
        <w:rPr>
          <w:sz w:val="22"/>
          <w:szCs w:val="22"/>
        </w:rPr>
        <w:t xml:space="preserve"/>
      </w:r>
    </w:p>
    <w:p>
      <w:pPr>
        <w:spacing w:after="20" w:before="40"/>
      </w:pPr>
      <w:r>
        <w:rPr>
          <w:rFonts w:ascii="Arial" w:cs="Arial" w:eastAsia="Arial" w:hAnsi="Arial"/>
          <w:b/>
          <w:bCs/>
          <w:sz w:val="22"/>
          <w:szCs w:val="22"/>
        </w:rPr>
        <w:t xml:space="preserve">____________________</w:t>
      </w:r>
    </w:p>
    <w:p>
      <w:pPr>
        <w:spacing w:after="20" w:before="20"/>
      </w:pPr>
      <w:r>
        <w:rPr>
          <w:rFonts w:ascii="Arial" w:cs="Arial" w:eastAsia="Arial" w:hAnsi="Arial"/>
          <w:color w:val="888888"/>
          <w:sz w:val="20"/>
          <w:szCs w:val="20"/>
        </w:rPr>
        <w:t xml:space="preserve">(Company name / carrier details)</w:t>
      </w:r>
    </w:p>
    <w:p>
      <w:pPr>
        <w:spacing w:after="20" w:before="20"/>
      </w:pPr>
      <w:r>
        <w:rPr>
          <w:rFonts w:ascii="Arial" w:cs="Arial" w:eastAsia="Arial" w:hAnsi="Arial"/>
          <w:color w:val="555555"/>
          <w:sz w:val="20"/>
          <w:szCs w:val="20"/>
        </w:rPr>
        <w:t xml:space="preserve">Contact person: ____________________</w:t>
      </w:r>
    </w:p>
    <w:p>
      <w:pPr>
        <w:spacing w:after="20" w:before="20"/>
      </w:pPr>
      <w:r>
        <w:rPr>
          <w:rFonts w:ascii="Arial" w:cs="Arial" w:eastAsia="Arial" w:hAnsi="Arial"/>
          <w:color w:val="555555"/>
          <w:sz w:val="20"/>
          <w:szCs w:val="20"/>
        </w:rPr>
        <w:t xml:space="preserve">Telephone / e-mail: ____________________</w:t>
      </w:r>
    </w:p>
    <w:p>
      <w:pPr>
        <w:spacing w:after="60" w:before="60"/>
      </w:pPr>
      <w:r>
        <w:rPr>
          <w:sz w:val="22"/>
          <w:szCs w:val="22"/>
        </w:rPr>
        <w:t xml:space="preserve"/>
      </w:r>
    </w:p>
    <w:p>
      <w:pPr>
        <w:spacing w:after="20" w:before="40"/>
      </w:pPr>
      <w:r>
        <w:rPr>
          <w:rFonts w:ascii="Arial" w:cs="Arial" w:eastAsia="Arial" w:hAnsi="Arial"/>
          <w:i/>
          <w:iCs/>
          <w:color w:val="777777"/>
          <w:sz w:val="18"/>
          <w:szCs w:val="18"/>
        </w:rPr>
        <w:t xml:space="preserve">Compiled by: Ferenc Kis-Petik, Managing Director – Tacho Center Kft.</w:t>
      </w:r>
    </w:p>
    <w:p>
      <w:pPr>
        <w:spacing w:after="10" w:before="10"/>
      </w:pPr>
      <w:r>
        <w:rPr>
          <w:rFonts w:ascii="Arial" w:cs="Arial" w:eastAsia="Arial" w:hAnsi="Arial"/>
          <w:i/>
          <w:iCs/>
          <w:color w:val="999999"/>
          <w:sz w:val="16"/>
          <w:szCs w:val="16"/>
        </w:rPr>
        <w:t xml:space="preserve">This notice has been prepared by Tacho Center Kft. for informational purposes on behalf of its clients, and is based on the applicable Italian statutory provisions.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2026-04-14T08:30:12.497Z</dcterms:created>
  <dcterms:modified xsi:type="dcterms:W3CDTF">2026-04-14T08:30:12.498Z</dcterms:modified>
</cp:coreProperties>
</file>

<file path=docProps/custom.xml><?xml version="1.0" encoding="utf-8"?>
<Properties xmlns="http://schemas.openxmlformats.org/officeDocument/2006/custom-properties" xmlns:vt="http://schemas.openxmlformats.org/officeDocument/2006/docPropsVTypes"/>
</file>